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96AE" w14:textId="77777777" w:rsidR="00D550CA" w:rsidRPr="00D550CA" w:rsidRDefault="00D550CA" w:rsidP="00D550CA">
      <w:pPr>
        <w:jc w:val="center"/>
        <w:rPr>
          <w:b/>
          <w:bCs/>
          <w:sz w:val="32"/>
          <w:szCs w:val="32"/>
        </w:rPr>
      </w:pPr>
      <w:r w:rsidRPr="00D550CA">
        <w:rPr>
          <w:b/>
          <w:bCs/>
          <w:sz w:val="32"/>
          <w:szCs w:val="32"/>
        </w:rPr>
        <w:t>La lista de sustancias prohibidas de la AMA para 2025 ya está en vigor</w:t>
      </w:r>
    </w:p>
    <w:p w14:paraId="073F8E3F" w14:textId="39429FBF" w:rsidR="00D550CA" w:rsidRPr="00D550CA" w:rsidRDefault="00D550CA" w:rsidP="00D550CA">
      <w:pPr>
        <w:tabs>
          <w:tab w:val="num" w:pos="720"/>
        </w:tabs>
        <w:jc w:val="center"/>
        <w:rPr>
          <w:b/>
          <w:bCs/>
          <w:sz w:val="32"/>
          <w:szCs w:val="32"/>
        </w:rPr>
      </w:pPr>
      <w:r w:rsidRPr="00D550CA">
        <w:rPr>
          <w:b/>
          <w:bCs/>
          <w:sz w:val="32"/>
          <w:szCs w:val="32"/>
        </w:rPr>
        <w:t>Lunes, 6 de enero de 2025</w:t>
      </w:r>
    </w:p>
    <w:p w14:paraId="6E058443" w14:textId="77777777" w:rsidR="00D550CA" w:rsidRPr="00D550CA" w:rsidRDefault="00D550CA" w:rsidP="00D550CA">
      <w:pPr>
        <w:rPr>
          <w:b/>
          <w:bCs/>
          <w:sz w:val="32"/>
          <w:szCs w:val="32"/>
        </w:rPr>
      </w:pPr>
      <w:r w:rsidRPr="00D550CA">
        <w:rPr>
          <w:b/>
          <w:bCs/>
          <w:sz w:val="32"/>
          <w:szCs w:val="32"/>
        </w:rPr>
        <w:t>El Comité Ejecutivo (</w:t>
      </w:r>
      <w:proofErr w:type="spellStart"/>
      <w:r w:rsidRPr="00D550CA">
        <w:rPr>
          <w:b/>
          <w:bCs/>
          <w:sz w:val="32"/>
          <w:szCs w:val="32"/>
        </w:rPr>
        <w:t>ExCo</w:t>
      </w:r>
      <w:proofErr w:type="spellEnd"/>
      <w:r w:rsidRPr="00D550CA">
        <w:rPr>
          <w:b/>
          <w:bCs/>
          <w:sz w:val="32"/>
          <w:szCs w:val="32"/>
        </w:rPr>
        <w:t>) de la Agencia Mundial Antidopaje (AMA) aprobó las actualizaciones de la Lista de Prohibiciones de 2025 en una reunión el 12 de septiembre de 2024 antes de que se </w:t>
      </w:r>
      <w:hyperlink r:id="rId5" w:tgtFrame="_blank" w:history="1">
        <w:r w:rsidRPr="00D550CA">
          <w:rPr>
            <w:rStyle w:val="Hipervnculo"/>
            <w:b/>
            <w:bCs/>
            <w:sz w:val="32"/>
            <w:szCs w:val="32"/>
          </w:rPr>
          <w:t>publicara oficialmente a finales de ese mes</w:t>
        </w:r>
      </w:hyperlink>
      <w:r w:rsidRPr="00D550CA">
        <w:rPr>
          <w:b/>
          <w:bCs/>
          <w:sz w:val="32"/>
          <w:szCs w:val="32"/>
        </w:rPr>
        <w:t> .</w:t>
      </w:r>
    </w:p>
    <w:p w14:paraId="683E0657" w14:textId="7FE826F3" w:rsidR="00513E22" w:rsidRPr="00D550CA" w:rsidRDefault="00D550CA">
      <w:pPr>
        <w:rPr>
          <w:sz w:val="32"/>
          <w:szCs w:val="32"/>
        </w:rPr>
      </w:pPr>
      <w:proofErr w:type="spellStart"/>
      <w:r w:rsidRPr="00D550CA">
        <w:rPr>
          <w:sz w:val="32"/>
          <w:szCs w:val="32"/>
        </w:rPr>
        <w:t>WADA's</w:t>
      </w:r>
      <w:proofErr w:type="spellEnd"/>
      <w:r w:rsidRPr="00D550CA">
        <w:rPr>
          <w:sz w:val="32"/>
          <w:szCs w:val="32"/>
        </w:rPr>
        <w:t xml:space="preserve"> 2025 </w:t>
      </w:r>
      <w:proofErr w:type="spellStart"/>
      <w:r w:rsidRPr="00D550CA">
        <w:rPr>
          <w:sz w:val="32"/>
          <w:szCs w:val="32"/>
        </w:rPr>
        <w:t>Prohibited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List</w:t>
      </w:r>
      <w:proofErr w:type="spellEnd"/>
      <w:r w:rsidRPr="00D550CA">
        <w:rPr>
          <w:sz w:val="32"/>
          <w:szCs w:val="32"/>
        </w:rPr>
        <w:t xml:space="preserve">, </w:t>
      </w:r>
      <w:proofErr w:type="spellStart"/>
      <w:r w:rsidRPr="00D550CA">
        <w:rPr>
          <w:sz w:val="32"/>
          <w:szCs w:val="32"/>
        </w:rPr>
        <w:t>the</w:t>
      </w:r>
      <w:proofErr w:type="spellEnd"/>
      <w:r w:rsidRPr="00D550CA">
        <w:rPr>
          <w:sz w:val="32"/>
          <w:szCs w:val="32"/>
        </w:rPr>
        <w:t xml:space="preserve"> 2025 </w:t>
      </w:r>
      <w:proofErr w:type="spellStart"/>
      <w:r w:rsidRPr="00D550CA">
        <w:rPr>
          <w:sz w:val="32"/>
          <w:szCs w:val="32"/>
        </w:rPr>
        <w:t>Summary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of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Modifications</w:t>
      </w:r>
      <w:proofErr w:type="spellEnd"/>
      <w:r w:rsidRPr="00D550CA">
        <w:rPr>
          <w:sz w:val="32"/>
          <w:szCs w:val="32"/>
        </w:rPr>
        <w:t xml:space="preserve"> and </w:t>
      </w:r>
      <w:proofErr w:type="spellStart"/>
      <w:r w:rsidRPr="00D550CA">
        <w:rPr>
          <w:sz w:val="32"/>
          <w:szCs w:val="32"/>
        </w:rPr>
        <w:t>Explanatory</w:t>
      </w:r>
      <w:proofErr w:type="spellEnd"/>
      <w:r w:rsidRPr="00D550CA">
        <w:rPr>
          <w:sz w:val="32"/>
          <w:szCs w:val="32"/>
        </w:rPr>
        <w:t xml:space="preserve"> Notes, and </w:t>
      </w:r>
      <w:proofErr w:type="spellStart"/>
      <w:r w:rsidRPr="00D550CA">
        <w:rPr>
          <w:sz w:val="32"/>
          <w:szCs w:val="32"/>
        </w:rPr>
        <w:t>the</w:t>
      </w:r>
      <w:proofErr w:type="spellEnd"/>
      <w:r w:rsidRPr="00D550CA">
        <w:rPr>
          <w:sz w:val="32"/>
          <w:szCs w:val="32"/>
        </w:rPr>
        <w:t xml:space="preserve"> 2025 </w:t>
      </w:r>
      <w:proofErr w:type="spellStart"/>
      <w:r w:rsidRPr="00D550CA">
        <w:rPr>
          <w:sz w:val="32"/>
          <w:szCs w:val="32"/>
        </w:rPr>
        <w:t>Monitoring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Program</w:t>
      </w:r>
      <w:proofErr w:type="spellEnd"/>
      <w:r w:rsidRPr="00D550CA">
        <w:rPr>
          <w:sz w:val="32"/>
          <w:szCs w:val="32"/>
        </w:rPr>
        <w:t xml:space="preserve"> are </w:t>
      </w:r>
      <w:proofErr w:type="spellStart"/>
      <w:r w:rsidRPr="00D550CA">
        <w:rPr>
          <w:sz w:val="32"/>
          <w:szCs w:val="32"/>
        </w:rPr>
        <w:t>all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available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for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download</w:t>
      </w:r>
      <w:proofErr w:type="spellEnd"/>
      <w:r w:rsidRPr="00D550CA">
        <w:rPr>
          <w:sz w:val="32"/>
          <w:szCs w:val="32"/>
        </w:rPr>
        <w:t xml:space="preserve"> in English, French, and </w:t>
      </w:r>
      <w:proofErr w:type="spellStart"/>
      <w:r w:rsidRPr="00D550CA">
        <w:rPr>
          <w:sz w:val="32"/>
          <w:szCs w:val="32"/>
        </w:rPr>
        <w:t>Spanish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on</w:t>
      </w:r>
      <w:proofErr w:type="spellEnd"/>
      <w:r w:rsidRPr="00D550CA">
        <w:rPr>
          <w:sz w:val="32"/>
          <w:szCs w:val="32"/>
        </w:rPr>
        <w:t xml:space="preserve"> </w:t>
      </w:r>
      <w:proofErr w:type="spellStart"/>
      <w:r w:rsidRPr="00D550CA">
        <w:rPr>
          <w:sz w:val="32"/>
          <w:szCs w:val="32"/>
        </w:rPr>
        <w:t>the</w:t>
      </w:r>
      <w:proofErr w:type="spellEnd"/>
      <w:r w:rsidRPr="00D550CA">
        <w:rPr>
          <w:sz w:val="32"/>
          <w:szCs w:val="32"/>
        </w:rPr>
        <w:t xml:space="preserve"> WADA </w:t>
      </w:r>
      <w:proofErr w:type="spellStart"/>
      <w:r w:rsidRPr="00D550CA">
        <w:rPr>
          <w:sz w:val="32"/>
          <w:szCs w:val="32"/>
        </w:rPr>
        <w:t>website</w:t>
      </w:r>
      <w:proofErr w:type="spellEnd"/>
      <w:r w:rsidRPr="00D550CA">
        <w:rPr>
          <w:sz w:val="32"/>
          <w:szCs w:val="32"/>
        </w:rPr>
        <w:t>.</w:t>
      </w:r>
      <w:r w:rsidRPr="00D550CA">
        <w:rPr>
          <w:rFonts w:ascii="Arial" w:hAnsi="Arial" w:cs="Arial"/>
          <w:sz w:val="32"/>
          <w:szCs w:val="32"/>
        </w:rPr>
        <w:t> </w:t>
      </w:r>
    </w:p>
    <w:p w14:paraId="2A8DFBB2" w14:textId="4EBED05F" w:rsidR="00D550CA" w:rsidRPr="00D550CA" w:rsidRDefault="00D550CA">
      <w:pPr>
        <w:rPr>
          <w:sz w:val="32"/>
          <w:szCs w:val="32"/>
        </w:rPr>
      </w:pPr>
      <w:r w:rsidRPr="00D550CA">
        <w:rPr>
          <w:sz w:val="32"/>
          <w:szCs w:val="32"/>
        </w:rPr>
        <w:t>La Lista de Prohibiciones de la AMA para 2025, el Resumen de Modificaciones y Notas Explicativas de 2025 y el Programa de Monitoreo de 2025 están disponibles para descargar en inglés, francés y español en el sitio web de la AMA.</w:t>
      </w:r>
      <w:r w:rsidRPr="00D550CA">
        <w:rPr>
          <w:rFonts w:ascii="Arial" w:hAnsi="Arial" w:cs="Arial"/>
          <w:sz w:val="32"/>
          <w:szCs w:val="32"/>
        </w:rPr>
        <w:t> </w:t>
      </w:r>
    </w:p>
    <w:sectPr w:rsidR="00D550CA" w:rsidRPr="00D550CA" w:rsidSect="006E57F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8482A"/>
    <w:multiLevelType w:val="multilevel"/>
    <w:tmpl w:val="575A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2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CA"/>
    <w:rsid w:val="00053D7B"/>
    <w:rsid w:val="000C2590"/>
    <w:rsid w:val="00513E22"/>
    <w:rsid w:val="006E57FD"/>
    <w:rsid w:val="00730CD9"/>
    <w:rsid w:val="00D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5DBB"/>
  <w15:chartTrackingRefBased/>
  <w15:docId w15:val="{1320CFDB-22DC-4333-934B-66F67955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5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5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5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5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5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5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5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5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50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50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50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50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50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5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5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5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5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50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50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50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50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50C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50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idethegames.biz/articles/1148922/wada-publishes-2025-prohibited-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</cp:lastModifiedBy>
  <cp:revision>1</cp:revision>
  <dcterms:created xsi:type="dcterms:W3CDTF">2025-01-07T18:33:00Z</dcterms:created>
  <dcterms:modified xsi:type="dcterms:W3CDTF">2025-01-07T18:36:00Z</dcterms:modified>
</cp:coreProperties>
</file>